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8F" w:rsidRPr="0033408F" w:rsidRDefault="0033408F" w:rsidP="0033408F">
      <w:pPr>
        <w:rPr>
          <w:rFonts w:cs="Times"/>
          <w:b/>
          <w:iCs/>
          <w:color w:val="221E1F"/>
        </w:rPr>
      </w:pPr>
      <w:r>
        <w:rPr>
          <w:rFonts w:cs="Times"/>
          <w:b/>
          <w:iCs/>
          <w:color w:val="221E1F"/>
        </w:rPr>
        <w:t>Noel-Levitz Student Satisfaction Inventory (SSI) Scales:</w:t>
      </w:r>
    </w:p>
    <w:p w:rsidR="0033408F" w:rsidRDefault="0033408F" w:rsidP="0033408F">
      <w:pPr>
        <w:pStyle w:val="Pa2"/>
        <w:numPr>
          <w:ilvl w:val="0"/>
          <w:numId w:val="1"/>
        </w:numPr>
        <w:rPr>
          <w:rFonts w:ascii="Times" w:hAnsi="Times" w:cs="Times"/>
          <w:color w:val="221E1F"/>
          <w:sz w:val="22"/>
          <w:szCs w:val="22"/>
        </w:rPr>
      </w:pPr>
      <w:r w:rsidRPr="005237FD">
        <w:rPr>
          <w:rFonts w:asciiTheme="minorHAnsi" w:hAnsiTheme="minorHAnsi" w:cs="Times"/>
          <w:iCs/>
          <w:color w:val="221E1F"/>
          <w:sz w:val="22"/>
          <w:szCs w:val="22"/>
        </w:rPr>
        <w:t>The</w:t>
      </w:r>
      <w:r>
        <w:rPr>
          <w:rFonts w:asciiTheme="minorHAnsi" w:hAnsiTheme="minorHAnsi" w:cs="Times"/>
          <w:i/>
          <w:iCs/>
          <w:color w:val="221E1F"/>
          <w:sz w:val="22"/>
          <w:szCs w:val="22"/>
        </w:rPr>
        <w:t xml:space="preserve"> </w:t>
      </w:r>
      <w:r w:rsidRPr="005237FD">
        <w:rPr>
          <w:rFonts w:asciiTheme="minorHAnsi" w:hAnsiTheme="minorHAnsi" w:cs="Times"/>
          <w:b/>
          <w:i/>
          <w:iCs/>
          <w:color w:val="221E1F"/>
          <w:sz w:val="22"/>
          <w:szCs w:val="22"/>
        </w:rPr>
        <w:t>Instructional Effectiveness</w:t>
      </w:r>
      <w:r w:rsidRPr="005237FD">
        <w:rPr>
          <w:rFonts w:asciiTheme="minorHAnsi" w:hAnsiTheme="minorHAnsi" w:cs="Times"/>
          <w:b/>
          <w:i/>
          <w:color w:val="221E1F"/>
          <w:sz w:val="22"/>
          <w:szCs w:val="22"/>
        </w:rPr>
        <w:t xml:space="preserve"> Scale</w:t>
      </w:r>
      <w:r>
        <w:rPr>
          <w:rFonts w:asciiTheme="minorHAnsi" w:hAnsiTheme="minorHAnsi" w:cs="Times"/>
          <w:color w:val="221E1F"/>
          <w:sz w:val="22"/>
          <w:szCs w:val="22"/>
        </w:rPr>
        <w:t xml:space="preserve"> a</w:t>
      </w:r>
      <w:r w:rsidRPr="005237FD">
        <w:rPr>
          <w:rFonts w:asciiTheme="minorHAnsi" w:hAnsiTheme="minorHAnsi" w:cs="Times"/>
          <w:color w:val="221E1F"/>
          <w:sz w:val="22"/>
          <w:szCs w:val="22"/>
        </w:rPr>
        <w:t>ssesses your students’ academic experience, the curriculum, and the campus’s overriding commitment to academic excellence.  This comprehensive scale covers areas such as the effectiveness of your faculty in and out of the classroom, content of the courses, and sufficient course offerings</w:t>
      </w:r>
      <w:r>
        <w:rPr>
          <w:rFonts w:ascii="Times" w:hAnsi="Times" w:cs="Times"/>
          <w:color w:val="221E1F"/>
          <w:sz w:val="22"/>
          <w:szCs w:val="22"/>
        </w:rPr>
        <w:t>.</w:t>
      </w:r>
      <w:r w:rsidR="00A80341">
        <w:rPr>
          <w:rFonts w:ascii="Times" w:hAnsi="Times" w:cs="Times"/>
          <w:color w:val="221E1F"/>
          <w:sz w:val="22"/>
          <w:szCs w:val="22"/>
        </w:rPr>
        <w:t xml:space="preserve"> (</w:t>
      </w:r>
      <w:r w:rsidR="00A80341">
        <w:rPr>
          <w:rFonts w:ascii="Times" w:hAnsi="Times" w:cs="Times"/>
          <w:b/>
          <w:i/>
          <w:color w:val="221E1F"/>
          <w:sz w:val="22"/>
          <w:szCs w:val="22"/>
        </w:rPr>
        <w:t>Items #4,14,17,29,32,36,40)</w:t>
      </w:r>
    </w:p>
    <w:p w:rsidR="0033408F" w:rsidRDefault="0033408F" w:rsidP="0033408F">
      <w:pPr>
        <w:pStyle w:val="Pa2"/>
        <w:numPr>
          <w:ilvl w:val="0"/>
          <w:numId w:val="1"/>
        </w:numPr>
        <w:rPr>
          <w:rFonts w:asciiTheme="minorHAnsi" w:hAnsiTheme="minorHAnsi" w:cs="Times"/>
          <w:color w:val="221E1F"/>
          <w:sz w:val="22"/>
          <w:szCs w:val="22"/>
        </w:rPr>
      </w:pPr>
      <w:r w:rsidRPr="005237FD">
        <w:rPr>
          <w:rFonts w:asciiTheme="minorHAnsi" w:hAnsiTheme="minorHAnsi" w:cs="Times"/>
          <w:iCs/>
          <w:color w:val="221E1F"/>
          <w:sz w:val="22"/>
          <w:szCs w:val="22"/>
        </w:rPr>
        <w:t>The</w:t>
      </w:r>
      <w:r w:rsidRPr="005237FD">
        <w:rPr>
          <w:rFonts w:asciiTheme="minorHAnsi" w:hAnsiTheme="minorHAnsi" w:cs="Times"/>
          <w:i/>
          <w:iCs/>
          <w:color w:val="221E1F"/>
          <w:sz w:val="22"/>
          <w:szCs w:val="22"/>
        </w:rPr>
        <w:t xml:space="preserve"> </w:t>
      </w:r>
      <w:r w:rsidRPr="005237FD">
        <w:rPr>
          <w:rFonts w:asciiTheme="minorHAnsi" w:hAnsiTheme="minorHAnsi" w:cs="Times"/>
          <w:b/>
          <w:i/>
          <w:iCs/>
          <w:color w:val="221E1F"/>
          <w:sz w:val="22"/>
          <w:szCs w:val="22"/>
        </w:rPr>
        <w:t>Registration Effectiveness Scale</w:t>
      </w:r>
      <w:r w:rsidRPr="005237FD">
        <w:rPr>
          <w:rFonts w:asciiTheme="minorHAnsi" w:hAnsiTheme="minorHAnsi" w:cs="Times"/>
          <w:color w:val="221E1F"/>
          <w:sz w:val="22"/>
          <w:szCs w:val="22"/>
        </w:rPr>
        <w:t xml:space="preserve"> assesses issues associated with registration and billing.  </w:t>
      </w:r>
      <w:r w:rsidRPr="005237FD">
        <w:rPr>
          <w:rFonts w:asciiTheme="minorHAnsi" w:hAnsiTheme="minorHAnsi" w:cs="Times"/>
          <w:color w:val="221E1F"/>
          <w:sz w:val="22"/>
          <w:szCs w:val="22"/>
        </w:rPr>
        <w:br/>
        <w:t>This scale also measures your institution’s commitment to making this process as smooth and effective as possible.</w:t>
      </w:r>
      <w:r w:rsidR="00A80341">
        <w:rPr>
          <w:rFonts w:asciiTheme="minorHAnsi" w:hAnsiTheme="minorHAnsi"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2,6,23,35</w:t>
      </w:r>
      <w:r w:rsidR="00A80341">
        <w:rPr>
          <w:rFonts w:ascii="Times" w:hAnsi="Times" w:cs="Times"/>
          <w:b/>
          <w:i/>
          <w:color w:val="221E1F"/>
          <w:sz w:val="22"/>
          <w:szCs w:val="22"/>
        </w:rPr>
        <w:t>)</w:t>
      </w:r>
    </w:p>
    <w:p w:rsidR="0033408F" w:rsidRDefault="0033408F" w:rsidP="0033408F">
      <w:pPr>
        <w:pStyle w:val="Pa2"/>
        <w:numPr>
          <w:ilvl w:val="0"/>
          <w:numId w:val="1"/>
        </w:numPr>
        <w:rPr>
          <w:rFonts w:asciiTheme="minorHAnsi" w:hAnsiTheme="minorHAnsi" w:cs="Times"/>
          <w:color w:val="221E1F"/>
          <w:sz w:val="22"/>
          <w:szCs w:val="22"/>
        </w:rPr>
      </w:pPr>
      <w:r w:rsidRPr="005237FD">
        <w:rPr>
          <w:rFonts w:asciiTheme="minorHAnsi" w:hAnsiTheme="minorHAnsi" w:cs="Times"/>
          <w:iCs/>
          <w:color w:val="221E1F"/>
          <w:sz w:val="22"/>
          <w:szCs w:val="22"/>
        </w:rPr>
        <w:t>The</w:t>
      </w:r>
      <w:r w:rsidRPr="005237FD">
        <w:rPr>
          <w:rFonts w:asciiTheme="minorHAnsi" w:hAnsiTheme="minorHAnsi" w:cs="Times"/>
          <w:i/>
          <w:iCs/>
          <w:color w:val="221E1F"/>
          <w:sz w:val="22"/>
          <w:szCs w:val="22"/>
        </w:rPr>
        <w:t xml:space="preserve"> </w:t>
      </w:r>
      <w:r>
        <w:rPr>
          <w:rFonts w:asciiTheme="minorHAnsi" w:hAnsiTheme="minorHAnsi" w:cs="Times"/>
          <w:b/>
          <w:i/>
          <w:iCs/>
          <w:color w:val="221E1F"/>
          <w:sz w:val="22"/>
          <w:szCs w:val="22"/>
        </w:rPr>
        <w:t>Academic Advising (and Counseling) Effectiveness Scale</w:t>
      </w:r>
      <w:r w:rsidRPr="005237FD">
        <w:rPr>
          <w:rFonts w:asciiTheme="minorHAnsi" w:hAnsiTheme="minorHAnsi" w:cs="Times"/>
          <w:color w:val="221E1F"/>
          <w:sz w:val="22"/>
          <w:szCs w:val="22"/>
        </w:rPr>
        <w:t xml:space="preserve"> assesses </w:t>
      </w:r>
      <w:r>
        <w:rPr>
          <w:rFonts w:asciiTheme="minorHAnsi" w:hAnsiTheme="minorHAnsi" w:cs="Times"/>
          <w:color w:val="221E1F"/>
          <w:sz w:val="22"/>
          <w:szCs w:val="22"/>
        </w:rPr>
        <w:t>the comprehensiveness of your academic advising program.  Academic advisors (and counselors) are evaluated on the basis of their knowledge, competence, and personal concern for student success, as well as on their approachability.</w:t>
      </w:r>
      <w:r w:rsidR="00A80341" w:rsidRPr="00A80341">
        <w:rPr>
          <w:rFonts w:ascii="Times" w:hAnsi="Times"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10,16,21,38</w:t>
      </w:r>
      <w:r w:rsidR="00A80341">
        <w:rPr>
          <w:rFonts w:ascii="Times" w:hAnsi="Times" w:cs="Times"/>
          <w:b/>
          <w:i/>
          <w:color w:val="221E1F"/>
          <w:sz w:val="22"/>
          <w:szCs w:val="22"/>
        </w:rPr>
        <w:t>)</w:t>
      </w:r>
    </w:p>
    <w:p w:rsidR="0033408F" w:rsidRDefault="0033408F" w:rsidP="0033408F">
      <w:pPr>
        <w:pStyle w:val="Pa2"/>
        <w:numPr>
          <w:ilvl w:val="0"/>
          <w:numId w:val="1"/>
        </w:numPr>
        <w:rPr>
          <w:rFonts w:asciiTheme="minorHAnsi" w:hAnsiTheme="minorHAnsi" w:cs="Times"/>
          <w:color w:val="221E1F"/>
          <w:sz w:val="22"/>
          <w:szCs w:val="22"/>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Pr>
          <w:rFonts w:asciiTheme="minorHAnsi" w:hAnsiTheme="minorHAnsi" w:cs="Times"/>
          <w:b/>
          <w:i/>
          <w:iCs/>
          <w:color w:val="221E1F"/>
          <w:sz w:val="22"/>
          <w:szCs w:val="22"/>
        </w:rPr>
        <w:t>Safety and Security</w:t>
      </w:r>
      <w:r w:rsidRPr="001813AF">
        <w:rPr>
          <w:rFonts w:asciiTheme="minorHAnsi" w:hAnsiTheme="minorHAnsi" w:cs="Times"/>
          <w:b/>
          <w:i/>
          <w:iCs/>
          <w:color w:val="221E1F"/>
          <w:sz w:val="22"/>
          <w:szCs w:val="22"/>
        </w:rPr>
        <w:t xml:space="preserve"> Scale</w:t>
      </w:r>
      <w:r>
        <w:rPr>
          <w:rFonts w:asciiTheme="minorHAnsi" w:hAnsiTheme="minorHAnsi" w:cs="Times"/>
          <w:b/>
          <w:i/>
          <w:iCs/>
          <w:color w:val="221E1F"/>
          <w:sz w:val="22"/>
          <w:szCs w:val="22"/>
        </w:rPr>
        <w:t xml:space="preserve"> </w:t>
      </w:r>
      <w:r>
        <w:rPr>
          <w:rFonts w:asciiTheme="minorHAnsi" w:hAnsiTheme="minorHAnsi" w:cs="Times"/>
          <w:iCs/>
          <w:color w:val="221E1F"/>
          <w:sz w:val="22"/>
          <w:szCs w:val="22"/>
        </w:rPr>
        <w:t>assesses your institution’s responsiveness to students’ personal safety and security on your campus.  This scale measures the effectiveness of both security personnel and campus facilities.</w:t>
      </w:r>
      <w:r w:rsidRPr="001813AF">
        <w:rPr>
          <w:rFonts w:asciiTheme="minorHAnsi" w:hAnsiTheme="minorHAnsi"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3,12,18,28</w:t>
      </w:r>
      <w:r w:rsidR="00A80341">
        <w:rPr>
          <w:rFonts w:ascii="Times" w:hAnsi="Times" w:cs="Times"/>
          <w:b/>
          <w:i/>
          <w:color w:val="221E1F"/>
          <w:sz w:val="22"/>
          <w:szCs w:val="22"/>
        </w:rPr>
        <w:t>)</w:t>
      </w:r>
    </w:p>
    <w:p w:rsidR="0033408F" w:rsidRPr="001813AF" w:rsidRDefault="0033408F" w:rsidP="0033408F">
      <w:pPr>
        <w:pStyle w:val="Pa2"/>
        <w:numPr>
          <w:ilvl w:val="0"/>
          <w:numId w:val="1"/>
        </w:numPr>
        <w:rPr>
          <w:rFonts w:asciiTheme="minorHAnsi" w:hAnsiTheme="minorHAnsi"/>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sidRPr="001813AF">
        <w:rPr>
          <w:rFonts w:asciiTheme="minorHAnsi" w:hAnsiTheme="minorHAnsi" w:cs="Times"/>
          <w:b/>
          <w:i/>
          <w:iCs/>
          <w:color w:val="221E1F"/>
          <w:sz w:val="22"/>
          <w:szCs w:val="22"/>
        </w:rPr>
        <w:t>Student Center</w:t>
      </w:r>
      <w:r>
        <w:rPr>
          <w:rFonts w:asciiTheme="minorHAnsi" w:hAnsiTheme="minorHAnsi" w:cs="Times"/>
          <w:b/>
          <w:i/>
          <w:iCs/>
          <w:color w:val="221E1F"/>
          <w:sz w:val="22"/>
          <w:szCs w:val="22"/>
        </w:rPr>
        <w:t>ed</w:t>
      </w:r>
      <w:r w:rsidRPr="001813AF">
        <w:rPr>
          <w:rFonts w:asciiTheme="minorHAnsi" w:hAnsiTheme="minorHAnsi" w:cs="Times"/>
          <w:b/>
          <w:i/>
          <w:iCs/>
          <w:color w:val="221E1F"/>
          <w:sz w:val="22"/>
          <w:szCs w:val="22"/>
        </w:rPr>
        <w:t xml:space="preserve">ness Scale </w:t>
      </w:r>
      <w:r>
        <w:rPr>
          <w:rFonts w:asciiTheme="minorHAnsi" w:hAnsiTheme="minorHAnsi" w:cs="Times"/>
          <w:iCs/>
          <w:color w:val="221E1F"/>
          <w:sz w:val="22"/>
          <w:szCs w:val="22"/>
        </w:rPr>
        <w:t xml:space="preserve">assesses </w:t>
      </w:r>
      <w:r w:rsidRPr="001813AF">
        <w:rPr>
          <w:rFonts w:asciiTheme="minorHAnsi" w:hAnsiTheme="minorHAnsi" w:cs="Times"/>
          <w:color w:val="221E1F"/>
          <w:sz w:val="22"/>
          <w:szCs w:val="22"/>
        </w:rPr>
        <w:t xml:space="preserve">your campus’s efforts to convey to students that they are important to your institution.  This scale measures the extent to which students feel welcome and valued.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1,5,31,35</w:t>
      </w:r>
      <w:r w:rsidR="00A80341">
        <w:rPr>
          <w:rFonts w:ascii="Times" w:hAnsi="Times" w:cs="Times"/>
          <w:b/>
          <w:i/>
          <w:color w:val="221E1F"/>
          <w:sz w:val="22"/>
          <w:szCs w:val="22"/>
        </w:rPr>
        <w:t>)</w:t>
      </w:r>
    </w:p>
    <w:p w:rsidR="0033408F" w:rsidRPr="001813AF" w:rsidRDefault="0033408F" w:rsidP="0033408F">
      <w:pPr>
        <w:pStyle w:val="Pa2"/>
        <w:numPr>
          <w:ilvl w:val="0"/>
          <w:numId w:val="1"/>
        </w:numPr>
        <w:rPr>
          <w:rFonts w:asciiTheme="minorHAnsi" w:hAnsiTheme="minorHAnsi" w:cs="Times"/>
          <w:color w:val="221E1F"/>
          <w:sz w:val="22"/>
          <w:szCs w:val="22"/>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sidRPr="001813AF">
        <w:rPr>
          <w:rFonts w:asciiTheme="minorHAnsi" w:hAnsiTheme="minorHAnsi" w:cs="Times"/>
          <w:b/>
          <w:i/>
          <w:iCs/>
          <w:color w:val="221E1F"/>
          <w:sz w:val="22"/>
          <w:szCs w:val="22"/>
        </w:rPr>
        <w:t xml:space="preserve">Campus Climate Scale </w:t>
      </w:r>
      <w:r w:rsidRPr="001813AF">
        <w:rPr>
          <w:rFonts w:asciiTheme="minorHAnsi" w:hAnsiTheme="minorHAnsi" w:cs="Times"/>
          <w:color w:val="221E1F"/>
          <w:sz w:val="22"/>
          <w:szCs w:val="22"/>
        </w:rPr>
        <w:t>assesses the extent to which your institution provides experiences that promote a sense of campus pride and feelings of belonging.  This scale also assess</w:t>
      </w:r>
      <w:r>
        <w:rPr>
          <w:rFonts w:asciiTheme="minorHAnsi" w:hAnsiTheme="minorHAnsi" w:cs="Times"/>
          <w:color w:val="221E1F"/>
          <w:sz w:val="22"/>
          <w:szCs w:val="22"/>
        </w:rPr>
        <w:t>es</w:t>
      </w:r>
      <w:r w:rsidRPr="001813AF">
        <w:rPr>
          <w:rFonts w:asciiTheme="minorHAnsi" w:hAnsiTheme="minorHAnsi" w:cs="Times"/>
          <w:color w:val="221E1F"/>
          <w:sz w:val="22"/>
          <w:szCs w:val="22"/>
        </w:rPr>
        <w:t xml:space="preserve"> the effectiveness of your institution’s channels of communication for students.</w:t>
      </w:r>
      <w:r w:rsidR="00A80341">
        <w:rPr>
          <w:rFonts w:asciiTheme="minorHAnsi" w:hAnsiTheme="minorHAnsi"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3,5,31,35,37,41,42,44</w:t>
      </w:r>
      <w:r w:rsidR="00A80341">
        <w:rPr>
          <w:rFonts w:ascii="Times" w:hAnsi="Times" w:cs="Times"/>
          <w:b/>
          <w:i/>
          <w:color w:val="221E1F"/>
          <w:sz w:val="22"/>
          <w:szCs w:val="22"/>
        </w:rPr>
        <w:t>)</w:t>
      </w:r>
    </w:p>
    <w:p w:rsidR="0033408F" w:rsidRPr="00A80341" w:rsidRDefault="0033408F" w:rsidP="00A80341">
      <w:pPr>
        <w:pStyle w:val="Pa2"/>
        <w:numPr>
          <w:ilvl w:val="0"/>
          <w:numId w:val="1"/>
        </w:numPr>
        <w:rPr>
          <w:rFonts w:asciiTheme="minorHAnsi" w:hAnsiTheme="minorHAnsi" w:cs="Times"/>
          <w:color w:val="221E1F"/>
          <w:sz w:val="22"/>
          <w:szCs w:val="22"/>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sidRPr="001813AF">
        <w:rPr>
          <w:rFonts w:asciiTheme="minorHAnsi" w:hAnsiTheme="minorHAnsi" w:cs="Times"/>
          <w:b/>
          <w:i/>
          <w:iCs/>
          <w:color w:val="221E1F"/>
          <w:sz w:val="22"/>
          <w:szCs w:val="22"/>
        </w:rPr>
        <w:t xml:space="preserve">Campus Services Scale </w:t>
      </w:r>
      <w:r w:rsidRPr="001813AF">
        <w:rPr>
          <w:rFonts w:asciiTheme="minorHAnsi" w:hAnsiTheme="minorHAnsi" w:cs="Times"/>
          <w:color w:val="221E1F"/>
          <w:sz w:val="22"/>
          <w:szCs w:val="22"/>
        </w:rPr>
        <w:t>(similar to Academic Services) assess services students utilize to achieve their academic goals.  These services include the library, computer labs, tutoring, and study areas.</w:t>
      </w:r>
      <w:r w:rsidR="00A80341">
        <w:rPr>
          <w:rFonts w:asciiTheme="minorHAnsi" w:hAnsiTheme="minorHAnsi"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9,15,20,22,24,26,34,43</w:t>
      </w:r>
      <w:r w:rsidR="00A80341">
        <w:rPr>
          <w:rFonts w:ascii="Times" w:hAnsi="Times" w:cs="Times"/>
          <w:b/>
          <w:i/>
          <w:color w:val="221E1F"/>
          <w:sz w:val="22"/>
          <w:szCs w:val="22"/>
        </w:rPr>
        <w:t>)</w:t>
      </w:r>
    </w:p>
    <w:p w:rsidR="0033408F" w:rsidRDefault="0033408F" w:rsidP="0033408F">
      <w:pPr>
        <w:pStyle w:val="Pa2"/>
        <w:numPr>
          <w:ilvl w:val="0"/>
          <w:numId w:val="1"/>
        </w:numPr>
        <w:rPr>
          <w:rFonts w:asciiTheme="minorHAnsi" w:hAnsiTheme="minorHAnsi" w:cs="Times"/>
          <w:color w:val="221E1F"/>
          <w:sz w:val="22"/>
          <w:szCs w:val="22"/>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sidRPr="001813AF">
        <w:rPr>
          <w:rFonts w:asciiTheme="minorHAnsi" w:hAnsiTheme="minorHAnsi" w:cs="Times"/>
          <w:b/>
          <w:i/>
          <w:iCs/>
          <w:color w:val="221E1F"/>
          <w:sz w:val="22"/>
          <w:szCs w:val="22"/>
        </w:rPr>
        <w:t>Recruitment</w:t>
      </w:r>
      <w:r>
        <w:rPr>
          <w:rFonts w:asciiTheme="minorHAnsi" w:hAnsiTheme="minorHAnsi" w:cs="Times"/>
          <w:b/>
          <w:i/>
          <w:iCs/>
          <w:color w:val="221E1F"/>
          <w:sz w:val="22"/>
          <w:szCs w:val="22"/>
        </w:rPr>
        <w:t xml:space="preserve"> (or Admissions)</w:t>
      </w:r>
      <w:r w:rsidRPr="001813AF">
        <w:rPr>
          <w:rFonts w:asciiTheme="minorHAnsi" w:hAnsiTheme="minorHAnsi" w:cs="Times"/>
          <w:b/>
          <w:i/>
          <w:iCs/>
          <w:color w:val="221E1F"/>
          <w:sz w:val="22"/>
          <w:szCs w:val="22"/>
        </w:rPr>
        <w:t xml:space="preserve"> and Financial Aid Effectiveness Scale </w:t>
      </w:r>
      <w:r w:rsidRPr="00CE352A">
        <w:rPr>
          <w:rFonts w:asciiTheme="minorHAnsi" w:hAnsiTheme="minorHAnsi" w:cs="Times"/>
          <w:color w:val="221E1F"/>
          <w:sz w:val="22"/>
          <w:szCs w:val="22"/>
        </w:rPr>
        <w:t>assesses your institution’s ability to enroll students in an effective manner.  This scale covers issues such as competence and knowledge of admissions counselors, as well as the effectiveness and availability of financial aid programs.</w:t>
      </w:r>
      <w:r w:rsidR="00A80341">
        <w:rPr>
          <w:rFonts w:asciiTheme="minorHAnsi" w:hAnsiTheme="minorHAnsi" w:cs="Times"/>
          <w:color w:val="221E1F"/>
          <w:sz w:val="22"/>
          <w:szCs w:val="22"/>
        </w:rPr>
        <w:t xml:space="preserve">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7,8,11,27,33</w:t>
      </w:r>
      <w:r w:rsidR="00A80341">
        <w:rPr>
          <w:rFonts w:ascii="Times" w:hAnsi="Times" w:cs="Times"/>
          <w:b/>
          <w:i/>
          <w:color w:val="221E1F"/>
          <w:sz w:val="22"/>
          <w:szCs w:val="22"/>
        </w:rPr>
        <w:t>)</w:t>
      </w:r>
      <w:r w:rsidRPr="00CE352A">
        <w:rPr>
          <w:rFonts w:asciiTheme="minorHAnsi" w:hAnsiTheme="minorHAnsi" w:cs="Times"/>
          <w:color w:val="221E1F"/>
          <w:sz w:val="22"/>
          <w:szCs w:val="22"/>
        </w:rPr>
        <w:t xml:space="preserve"> </w:t>
      </w:r>
    </w:p>
    <w:p w:rsidR="0033408F" w:rsidRPr="00CE352A" w:rsidRDefault="0033408F" w:rsidP="0033408F">
      <w:pPr>
        <w:pStyle w:val="Pa2"/>
        <w:numPr>
          <w:ilvl w:val="0"/>
          <w:numId w:val="1"/>
        </w:numPr>
        <w:rPr>
          <w:rFonts w:asciiTheme="minorHAnsi" w:hAnsiTheme="minorHAnsi" w:cs="Times"/>
          <w:color w:val="221E1F"/>
          <w:sz w:val="22"/>
          <w:szCs w:val="22"/>
        </w:rPr>
      </w:pPr>
      <w:r w:rsidRPr="001813AF">
        <w:rPr>
          <w:rFonts w:asciiTheme="minorHAnsi" w:hAnsiTheme="minorHAnsi" w:cs="Times"/>
          <w:iCs/>
          <w:color w:val="221E1F"/>
          <w:sz w:val="22"/>
          <w:szCs w:val="22"/>
        </w:rPr>
        <w:t>The</w:t>
      </w:r>
      <w:r w:rsidRPr="001813AF">
        <w:rPr>
          <w:rFonts w:asciiTheme="minorHAnsi" w:hAnsiTheme="minorHAnsi" w:cs="Times"/>
          <w:i/>
          <w:iCs/>
          <w:color w:val="221E1F"/>
          <w:sz w:val="22"/>
          <w:szCs w:val="22"/>
        </w:rPr>
        <w:t xml:space="preserve"> </w:t>
      </w:r>
      <w:r>
        <w:rPr>
          <w:rFonts w:asciiTheme="minorHAnsi" w:hAnsiTheme="minorHAnsi" w:cs="Times"/>
          <w:b/>
          <w:i/>
          <w:iCs/>
          <w:color w:val="221E1F"/>
          <w:sz w:val="22"/>
          <w:szCs w:val="22"/>
        </w:rPr>
        <w:t xml:space="preserve">Campus Life Scale </w:t>
      </w:r>
      <w:r w:rsidRPr="00CE352A">
        <w:rPr>
          <w:rFonts w:asciiTheme="minorHAnsi" w:hAnsiTheme="minorHAnsi" w:cs="Times"/>
          <w:color w:val="221E1F"/>
          <w:sz w:val="22"/>
          <w:szCs w:val="22"/>
        </w:rPr>
        <w:t xml:space="preserve">assesses the effectiveness of student life programs offered by your institution, covering issues ranging from athletics to residence life.  This scale also assesses campus policies and procedures to determine students’ perception of their rights and responsibilities. </w:t>
      </w:r>
      <w:r w:rsidR="00A80341">
        <w:rPr>
          <w:rFonts w:ascii="Times" w:hAnsi="Times" w:cs="Times"/>
          <w:color w:val="221E1F"/>
          <w:sz w:val="22"/>
          <w:szCs w:val="22"/>
        </w:rPr>
        <w:t>(</w:t>
      </w:r>
      <w:r w:rsidR="00A80341">
        <w:rPr>
          <w:rFonts w:ascii="Times" w:hAnsi="Times" w:cs="Times"/>
          <w:b/>
          <w:i/>
          <w:color w:val="221E1F"/>
          <w:sz w:val="22"/>
          <w:szCs w:val="22"/>
        </w:rPr>
        <w:t>Items #</w:t>
      </w:r>
      <w:r w:rsidR="00A80341">
        <w:rPr>
          <w:rFonts w:ascii="Times" w:hAnsi="Times" w:cs="Times"/>
          <w:b/>
          <w:i/>
          <w:color w:val="221E1F"/>
          <w:sz w:val="22"/>
          <w:szCs w:val="22"/>
        </w:rPr>
        <w:t>13,19,30,39,45</w:t>
      </w:r>
      <w:bookmarkStart w:id="0" w:name="_GoBack"/>
      <w:bookmarkEnd w:id="0"/>
      <w:r w:rsidR="00A80341">
        <w:rPr>
          <w:rFonts w:ascii="Times" w:hAnsi="Times" w:cs="Times"/>
          <w:b/>
          <w:i/>
          <w:color w:val="221E1F"/>
          <w:sz w:val="22"/>
          <w:szCs w:val="22"/>
        </w:rPr>
        <w:t>)</w:t>
      </w:r>
    </w:p>
    <w:p w:rsidR="00DD30F1" w:rsidRDefault="00DD30F1"/>
    <w:sectPr w:rsidR="00DD3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1F80"/>
    <w:multiLevelType w:val="hybridMultilevel"/>
    <w:tmpl w:val="40A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8F"/>
    <w:rsid w:val="0033408F"/>
    <w:rsid w:val="00A80341"/>
    <w:rsid w:val="00DD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33408F"/>
    <w:pPr>
      <w:widowControl w:val="0"/>
      <w:autoSpaceDE w:val="0"/>
      <w:autoSpaceDN w:val="0"/>
      <w:adjustRightInd w:val="0"/>
      <w:spacing w:before="140" w:after="0" w:line="221" w:lineRule="atLeast"/>
    </w:pPr>
    <w:rPr>
      <w:rFonts w:ascii="Arial Narrow" w:eastAsiaTheme="minorEastAsia"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33408F"/>
    <w:pPr>
      <w:widowControl w:val="0"/>
      <w:autoSpaceDE w:val="0"/>
      <w:autoSpaceDN w:val="0"/>
      <w:adjustRightInd w:val="0"/>
      <w:spacing w:before="140" w:after="0" w:line="221" w:lineRule="atLeast"/>
    </w:pPr>
    <w:rPr>
      <w:rFonts w:ascii="Arial Narrow" w:eastAsiaTheme="minorEastAsia"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NSUSER</dc:creator>
  <cp:lastModifiedBy>NSUSER</cp:lastModifiedBy>
  <cp:revision>2</cp:revision>
  <dcterms:created xsi:type="dcterms:W3CDTF">2013-09-10T15:51:00Z</dcterms:created>
  <dcterms:modified xsi:type="dcterms:W3CDTF">2013-10-14T19:43:00Z</dcterms:modified>
</cp:coreProperties>
</file>